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32456D">
        <w:rPr>
          <w:sz w:val="24"/>
          <w:szCs w:val="24"/>
        </w:rPr>
        <w:t>5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32456D">
        <w:rPr>
          <w:sz w:val="24"/>
          <w:szCs w:val="24"/>
        </w:rPr>
        <w:t>6</w:t>
      </w:r>
      <w:r w:rsidR="009A77E9">
        <w:rPr>
          <w:sz w:val="24"/>
          <w:szCs w:val="24"/>
        </w:rPr>
        <w:t xml:space="preserve"> de </w:t>
      </w:r>
      <w:r w:rsidR="0032456D">
        <w:rPr>
          <w:sz w:val="24"/>
          <w:szCs w:val="24"/>
        </w:rPr>
        <w:t>noviembre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764ABD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Apertura</w:t>
      </w:r>
      <w:r w:rsidR="00D9721D">
        <w:rPr>
          <w:b/>
        </w:rPr>
        <w:t xml:space="preserve"> 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851"/>
        <w:gridCol w:w="1984"/>
        <w:gridCol w:w="851"/>
      </w:tblGrid>
      <w:tr w:rsidR="00764ABD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AC03E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C03E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03E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D97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D9721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AC03E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C03E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47077E" w:rsidRDefault="00AC03E3" w:rsidP="00E40496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C03E3" w:rsidRPr="00CC55C6" w:rsidTr="00D9721D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Default="00AC03E3" w:rsidP="00E40496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Default="00AC03E3" w:rsidP="00E40496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Default="00AC03E3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D9721D" w:rsidRDefault="00D9721D" w:rsidP="00D9721D">
      <w:pPr>
        <w:pStyle w:val="Prrafodelista"/>
        <w:ind w:left="1843"/>
      </w:pP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34347C" w:rsidP="0034347C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34347C" w:rsidP="00E404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34347C" w:rsidP="00E404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E4049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E404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E404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E404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E404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C03E3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34347C" w:rsidP="00E404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Default="0034347C" w:rsidP="00E4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E404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AC03E3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E3" w:rsidRPr="00CC55C6" w:rsidRDefault="00AC03E3" w:rsidP="00E404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E3" w:rsidRPr="00CC55C6" w:rsidRDefault="00AC03E3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AC03E3">
        <w:rPr>
          <w:b/>
          <w:u w:val="single"/>
        </w:rPr>
        <w:t>13</w:t>
      </w:r>
      <w:proofErr w:type="gramEnd"/>
      <w:r>
        <w:rPr>
          <w:b/>
          <w:u w:val="single"/>
        </w:rPr>
        <w:t xml:space="preserve"> </w:t>
      </w:r>
      <w:r w:rsidR="004E050F">
        <w:rPr>
          <w:b/>
          <w:u w:val="single"/>
        </w:rPr>
        <w:t>noviembre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523E08">
        <w:rPr>
          <w:b/>
          <w:u w:val="single"/>
        </w:rPr>
        <w:t>2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AC03E3" w:rsidP="004E050F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552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552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552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76283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552" w:type="dxa"/>
          </w:tcPr>
          <w:p w:rsidR="00F41B9A" w:rsidRPr="0047077E" w:rsidRDefault="00AC03E3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Default="00F41B9A" w:rsidP="00D97D50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92" w:type="dxa"/>
          </w:tcPr>
          <w:p w:rsidR="00F41B9A" w:rsidRPr="00656E9D" w:rsidRDefault="00F76283" w:rsidP="00F7628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AC03E3" w:rsidP="00D97D5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552" w:type="dxa"/>
          </w:tcPr>
          <w:p w:rsidR="00F41B9A" w:rsidRDefault="00AC03E3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</w:tbl>
    <w:p w:rsidR="006C2612" w:rsidRDefault="00F41B9A" w:rsidP="00F76283">
      <w:pPr>
        <w:ind w:left="360"/>
        <w:rPr>
          <w:b/>
        </w:rPr>
      </w:pPr>
      <w:r>
        <w:t xml:space="preserve">      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686DA7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D732F8" w:rsidRDefault="002C4329" w:rsidP="00D732F8">
      <w:pPr>
        <w:numPr>
          <w:ilvl w:val="3"/>
          <w:numId w:val="11"/>
        </w:numPr>
      </w:pPr>
      <w:r>
        <w:t xml:space="preserve">amarilla al nº </w:t>
      </w:r>
      <w:r w:rsidR="0034347C">
        <w:t>11.</w:t>
      </w:r>
    </w:p>
    <w:p w:rsidR="00F76283" w:rsidRPr="00D732F8" w:rsidRDefault="00F76283" w:rsidP="00F76283">
      <w:pPr>
        <w:ind w:left="2880"/>
      </w:pPr>
    </w:p>
    <w:p w:rsidR="00D732F8" w:rsidRPr="00E02939" w:rsidRDefault="002123B5" w:rsidP="00D732F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CE4E3F" w:rsidRDefault="00D732F8" w:rsidP="00CE4E3F">
      <w:pPr>
        <w:numPr>
          <w:ilvl w:val="3"/>
          <w:numId w:val="11"/>
        </w:numPr>
      </w:pPr>
      <w:r>
        <w:t xml:space="preserve">amarilla al nº </w:t>
      </w:r>
      <w:r w:rsidR="004E050F">
        <w:t>2</w:t>
      </w:r>
    </w:p>
    <w:p w:rsidR="004E050F" w:rsidRPr="004E050F" w:rsidRDefault="002158DA" w:rsidP="00CE4E3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34347C">
        <w:t>7</w:t>
      </w:r>
    </w:p>
    <w:p w:rsidR="0034347C" w:rsidRPr="0034347C" w:rsidRDefault="0034347C" w:rsidP="00CE4E3F">
      <w:pPr>
        <w:numPr>
          <w:ilvl w:val="3"/>
          <w:numId w:val="11"/>
        </w:numPr>
        <w:rPr>
          <w:u w:val="single"/>
        </w:rPr>
      </w:pPr>
      <w:r>
        <w:t>amarilla al nº 8</w:t>
      </w:r>
    </w:p>
    <w:p w:rsidR="00CE4E3F" w:rsidRPr="002123B5" w:rsidRDefault="0034347C" w:rsidP="00CE4E3F">
      <w:pPr>
        <w:numPr>
          <w:ilvl w:val="3"/>
          <w:numId w:val="11"/>
        </w:numPr>
        <w:rPr>
          <w:u w:val="single"/>
        </w:rPr>
      </w:pPr>
      <w:r>
        <w:t>2 amarillas al nº 9</w:t>
      </w:r>
      <w:r w:rsidR="002123B5">
        <w:t>.</w:t>
      </w:r>
    </w:p>
    <w:p w:rsidR="002D0B00" w:rsidRPr="00EA1B11" w:rsidRDefault="002D0B00" w:rsidP="002D0B00">
      <w:pPr>
        <w:ind w:left="2880"/>
        <w:rPr>
          <w:u w:val="single"/>
        </w:rPr>
      </w:pPr>
    </w:p>
    <w:p w:rsidR="002D0B00" w:rsidRPr="00E02939" w:rsidRDefault="004E050F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</w:p>
    <w:p w:rsidR="004E050F" w:rsidRPr="004E050F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34347C">
        <w:t>4</w:t>
      </w:r>
    </w:p>
    <w:p w:rsidR="002D0B00" w:rsidRPr="002158DA" w:rsidRDefault="0034347C" w:rsidP="00F7474F">
      <w:pPr>
        <w:numPr>
          <w:ilvl w:val="3"/>
          <w:numId w:val="11"/>
        </w:numPr>
        <w:rPr>
          <w:u w:val="single"/>
        </w:rPr>
      </w:pPr>
      <w:r>
        <w:t>amarilla al nº 19</w:t>
      </w:r>
      <w:r w:rsidR="002158DA">
        <w:t>.</w:t>
      </w:r>
    </w:p>
    <w:p w:rsidR="00C66778" w:rsidRPr="00C66778" w:rsidRDefault="00C66778" w:rsidP="00C66778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B630CD" w:rsidRPr="00B630CD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34347C">
        <w:t>8</w:t>
      </w:r>
    </w:p>
    <w:p w:rsidR="00230C04" w:rsidRPr="00230C04" w:rsidRDefault="00230C04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34347C">
        <w:t>11</w:t>
      </w:r>
    </w:p>
    <w:p w:rsidR="00B630CD" w:rsidRPr="0034347C" w:rsidRDefault="00557316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34347C">
        <w:t>19.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30C04" w:rsidRPr="004E050F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34347C">
        <w:t>3</w:t>
      </w:r>
    </w:p>
    <w:p w:rsidR="00B630CD" w:rsidRPr="0034347C" w:rsidRDefault="00230C04" w:rsidP="00557316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34347C">
        <w:t>7</w:t>
      </w:r>
    </w:p>
    <w:p w:rsidR="00696018" w:rsidRDefault="0034347C" w:rsidP="00696018">
      <w:pPr>
        <w:numPr>
          <w:ilvl w:val="3"/>
          <w:numId w:val="11"/>
        </w:numPr>
        <w:ind w:left="2832"/>
      </w:pPr>
      <w:r>
        <w:t>amarilla al nº 12</w:t>
      </w:r>
    </w:p>
    <w:p w:rsidR="00B630CD" w:rsidRPr="00696018" w:rsidRDefault="0034347C" w:rsidP="00696018">
      <w:pPr>
        <w:numPr>
          <w:ilvl w:val="3"/>
          <w:numId w:val="11"/>
        </w:numPr>
        <w:ind w:left="2832"/>
        <w:rPr>
          <w:u w:val="single"/>
        </w:rPr>
      </w:pPr>
      <w:r>
        <w:t>amarilla al nº 14</w:t>
      </w:r>
      <w:r w:rsidR="00696018">
        <w:t>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230C04" w:rsidRPr="00230C04" w:rsidRDefault="00230C04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557316" w:rsidRPr="0034347C" w:rsidRDefault="0034347C" w:rsidP="00557316">
      <w:pPr>
        <w:numPr>
          <w:ilvl w:val="2"/>
          <w:numId w:val="4"/>
        </w:numPr>
        <w:rPr>
          <w:u w:val="single"/>
        </w:rPr>
      </w:pPr>
      <w:r>
        <w:t xml:space="preserve">amarilla al nº 8 </w:t>
      </w:r>
    </w:p>
    <w:p w:rsidR="00230C04" w:rsidRPr="00557316" w:rsidRDefault="00557316" w:rsidP="00557316">
      <w:pPr>
        <w:numPr>
          <w:ilvl w:val="2"/>
          <w:numId w:val="4"/>
        </w:numPr>
        <w:rPr>
          <w:u w:val="single"/>
        </w:rPr>
      </w:pPr>
      <w:r>
        <w:t xml:space="preserve">amarilla al nº </w:t>
      </w:r>
      <w:r w:rsidR="0034347C">
        <w:t>17</w:t>
      </w:r>
      <w:r>
        <w:t>.</w:t>
      </w:r>
    </w:p>
    <w:p w:rsidR="00230C04" w:rsidRDefault="00230C04" w:rsidP="00230C04">
      <w:pPr>
        <w:ind w:left="2868"/>
        <w:rPr>
          <w:u w:val="single"/>
        </w:rPr>
      </w:pPr>
    </w:p>
    <w:p w:rsidR="00B630CD" w:rsidRPr="00E02939" w:rsidRDefault="00230C04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B630CD" w:rsidRPr="00B630CD" w:rsidRDefault="00230C04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DC0F22">
        <w:t>1</w:t>
      </w:r>
    </w:p>
    <w:p w:rsidR="00925197" w:rsidRDefault="00B630CD" w:rsidP="00B630CD">
      <w:pPr>
        <w:numPr>
          <w:ilvl w:val="3"/>
          <w:numId w:val="11"/>
        </w:numPr>
      </w:pPr>
      <w:r>
        <w:t xml:space="preserve">amarilla al nº </w:t>
      </w:r>
      <w:r w:rsidR="00925197">
        <w:t>1</w:t>
      </w:r>
      <w:r w:rsidR="0034347C">
        <w:t>0.</w:t>
      </w:r>
    </w:p>
    <w:p w:rsidR="00925197" w:rsidRDefault="00925197" w:rsidP="00925197"/>
    <w:p w:rsidR="00925197" w:rsidRPr="00925197" w:rsidRDefault="00230C04" w:rsidP="00925197">
      <w:pPr>
        <w:numPr>
          <w:ilvl w:val="0"/>
          <w:numId w:val="4"/>
        </w:numPr>
        <w:rPr>
          <w:b/>
          <w:u w:val="single"/>
        </w:rPr>
      </w:pPr>
      <w:r w:rsidRPr="00230C04">
        <w:t xml:space="preserve"> </w:t>
      </w:r>
      <w:proofErr w:type="spellStart"/>
      <w:r w:rsidR="00925197" w:rsidRPr="00925197">
        <w:rPr>
          <w:b/>
        </w:rPr>
        <w:t>Koky</w:t>
      </w:r>
      <w:proofErr w:type="spellEnd"/>
    </w:p>
    <w:p w:rsidR="00925197" w:rsidRPr="00B630CD" w:rsidRDefault="00925197" w:rsidP="00925197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34347C">
        <w:t>3</w:t>
      </w:r>
    </w:p>
    <w:p w:rsidR="00925197" w:rsidRDefault="00925197" w:rsidP="00925197">
      <w:pPr>
        <w:numPr>
          <w:ilvl w:val="3"/>
          <w:numId w:val="11"/>
        </w:numPr>
      </w:pPr>
      <w:r>
        <w:t>amarilla al nº 1</w:t>
      </w:r>
      <w:r w:rsidR="0034347C">
        <w:t>9.</w:t>
      </w:r>
    </w:p>
    <w:p w:rsidR="0034347C" w:rsidRPr="00D732F8" w:rsidRDefault="0034347C" w:rsidP="0034347C">
      <w:pPr>
        <w:ind w:left="2880"/>
        <w:rPr>
          <w:u w:val="single"/>
        </w:rPr>
      </w:pPr>
    </w:p>
    <w:p w:rsidR="0034347C" w:rsidRPr="00E02939" w:rsidRDefault="0034347C" w:rsidP="0034347C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34347C" w:rsidRPr="004E050F" w:rsidRDefault="0034347C" w:rsidP="0034347C">
      <w:pPr>
        <w:numPr>
          <w:ilvl w:val="3"/>
          <w:numId w:val="11"/>
        </w:numPr>
        <w:rPr>
          <w:u w:val="single"/>
        </w:rPr>
      </w:pPr>
      <w:r>
        <w:t>amarilla al nº 14</w:t>
      </w:r>
    </w:p>
    <w:p w:rsidR="0034347C" w:rsidRPr="0034347C" w:rsidRDefault="0034347C" w:rsidP="0034347C">
      <w:pPr>
        <w:numPr>
          <w:ilvl w:val="3"/>
          <w:numId w:val="11"/>
        </w:numPr>
        <w:rPr>
          <w:u w:val="single"/>
        </w:rPr>
      </w:pPr>
      <w:r>
        <w:t>amarilla al nº 16</w:t>
      </w:r>
    </w:p>
    <w:p w:rsidR="0034347C" w:rsidRPr="0034347C" w:rsidRDefault="0034347C" w:rsidP="0034347C">
      <w:pPr>
        <w:numPr>
          <w:ilvl w:val="3"/>
          <w:numId w:val="11"/>
        </w:numPr>
        <w:ind w:left="2832"/>
        <w:rPr>
          <w:u w:val="single"/>
        </w:rPr>
      </w:pPr>
      <w:r>
        <w:t>amarilla al nº 26.</w:t>
      </w:r>
    </w:p>
    <w:p w:rsidR="0034347C" w:rsidRPr="00D732F8" w:rsidRDefault="0034347C" w:rsidP="0034347C">
      <w:pPr>
        <w:ind w:left="2880"/>
        <w:rPr>
          <w:u w:val="single"/>
        </w:rPr>
      </w:pPr>
    </w:p>
    <w:p w:rsidR="0034347C" w:rsidRPr="00230C04" w:rsidRDefault="0034347C" w:rsidP="0034347C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34347C" w:rsidRPr="0034347C" w:rsidRDefault="0034347C" w:rsidP="0034347C">
      <w:pPr>
        <w:numPr>
          <w:ilvl w:val="2"/>
          <w:numId w:val="4"/>
        </w:numPr>
        <w:rPr>
          <w:u w:val="single"/>
        </w:rPr>
      </w:pPr>
      <w:r>
        <w:t>amarilla al nº 4.</w:t>
      </w:r>
    </w:p>
    <w:p w:rsidR="0034347C" w:rsidRDefault="0034347C" w:rsidP="0034347C">
      <w:pPr>
        <w:ind w:left="2868"/>
        <w:rPr>
          <w:u w:val="single"/>
        </w:rPr>
      </w:pPr>
    </w:p>
    <w:p w:rsidR="0034347C" w:rsidRPr="00E02939" w:rsidRDefault="0034347C" w:rsidP="0034347C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34347C" w:rsidRDefault="0034347C" w:rsidP="0034347C">
      <w:pPr>
        <w:numPr>
          <w:ilvl w:val="3"/>
          <w:numId w:val="11"/>
        </w:numPr>
      </w:pPr>
      <w:r>
        <w:t>amarilla al nº 7.</w:t>
      </w:r>
    </w:p>
    <w:p w:rsidR="0034347C" w:rsidRDefault="0034347C" w:rsidP="0034347C"/>
    <w:p w:rsidR="0034347C" w:rsidRPr="0034347C" w:rsidRDefault="0034347C" w:rsidP="0034347C">
      <w:pPr>
        <w:numPr>
          <w:ilvl w:val="0"/>
          <w:numId w:val="4"/>
        </w:numPr>
        <w:rPr>
          <w:b/>
          <w:u w:val="single"/>
        </w:rPr>
      </w:pPr>
      <w:r w:rsidRPr="0034347C">
        <w:rPr>
          <w:b/>
        </w:rPr>
        <w:t xml:space="preserve"> La Perla del Oeste</w:t>
      </w:r>
    </w:p>
    <w:p w:rsidR="0034347C" w:rsidRDefault="0034347C" w:rsidP="0034347C">
      <w:pPr>
        <w:numPr>
          <w:ilvl w:val="3"/>
          <w:numId w:val="11"/>
        </w:numPr>
      </w:pPr>
      <w:r>
        <w:t>amarilla al nº 26.</w:t>
      </w:r>
    </w:p>
    <w:p w:rsidR="00925197" w:rsidRDefault="00925197" w:rsidP="00925197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92"/>
        <w:gridCol w:w="1276"/>
        <w:gridCol w:w="1275"/>
        <w:gridCol w:w="4395"/>
      </w:tblGrid>
      <w:tr w:rsidR="00CF542D" w:rsidTr="006B6951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395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6B6951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395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6B6951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992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6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5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395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736CC6" w:rsidTr="006B6951">
        <w:tc>
          <w:tcPr>
            <w:tcW w:w="1531" w:type="dxa"/>
          </w:tcPr>
          <w:p w:rsidR="007621D8" w:rsidRPr="007621D8" w:rsidRDefault="007621D8" w:rsidP="007621D8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Luis María Martín </w:t>
            </w:r>
            <w:proofErr w:type="spellStart"/>
            <w:r w:rsidRPr="007621D8">
              <w:rPr>
                <w:sz w:val="20"/>
                <w:szCs w:val="20"/>
              </w:rPr>
              <w:t>Goikoetxea</w:t>
            </w:r>
            <w:proofErr w:type="spellEnd"/>
          </w:p>
          <w:p w:rsidR="00260BF7" w:rsidRPr="007621D8" w:rsidRDefault="00736CC6" w:rsidP="007621D8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 (nº 1</w:t>
            </w:r>
            <w:r w:rsidR="007621D8" w:rsidRPr="007621D8">
              <w:rPr>
                <w:sz w:val="20"/>
                <w:szCs w:val="20"/>
              </w:rPr>
              <w:t>5</w:t>
            </w:r>
            <w:r w:rsidRPr="007621D8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60BF7" w:rsidRPr="00736CC6" w:rsidRDefault="007621D8" w:rsidP="007621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6" w:type="dxa"/>
          </w:tcPr>
          <w:p w:rsidR="00260BF7" w:rsidRPr="00736CC6" w:rsidRDefault="007621D8" w:rsidP="00762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736CC6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 w:rsidR="00736CC6">
              <w:rPr>
                <w:sz w:val="20"/>
                <w:szCs w:val="20"/>
                <w:lang w:val="en-US"/>
              </w:rPr>
              <w:t>-2022</w:t>
            </w:r>
          </w:p>
        </w:tc>
        <w:tc>
          <w:tcPr>
            <w:tcW w:w="1275" w:type="dxa"/>
          </w:tcPr>
          <w:p w:rsidR="00260BF7" w:rsidRPr="00736CC6" w:rsidRDefault="007621D8" w:rsidP="00762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736CC6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 w:rsidR="00736CC6">
              <w:rPr>
                <w:sz w:val="20"/>
                <w:szCs w:val="20"/>
                <w:lang w:val="en-US"/>
              </w:rPr>
              <w:t>-2022</w:t>
            </w:r>
          </w:p>
        </w:tc>
        <w:tc>
          <w:tcPr>
            <w:tcW w:w="4395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4 partidos de suspensión y 24 euros de multa por agresión </w:t>
            </w:r>
            <w:r w:rsidR="007621D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un contrario</w:t>
            </w:r>
            <w:r w:rsidR="007621D8">
              <w:rPr>
                <w:sz w:val="20"/>
                <w:szCs w:val="20"/>
              </w:rPr>
              <w:t xml:space="preserve"> dándole un codazo con resultado de herida sangrante.</w:t>
            </w:r>
          </w:p>
          <w:p w:rsidR="00260BF7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  <w:p w:rsidR="00DC0F22" w:rsidRPr="00736CC6" w:rsidRDefault="00DC0F22" w:rsidP="00736CC6">
            <w:pPr>
              <w:ind w:left="1"/>
              <w:rPr>
                <w:sz w:val="20"/>
                <w:szCs w:val="20"/>
                <w:lang w:val="en-US"/>
              </w:rPr>
            </w:pPr>
          </w:p>
        </w:tc>
      </w:tr>
      <w:tr w:rsidR="00260BF7" w:rsidRPr="00457CEA" w:rsidTr="006B6951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6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5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</w:tbl>
    <w:p w:rsidR="00834484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lastRenderedPageBreak/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C52EE1" w:rsidRDefault="00C52EE1" w:rsidP="00C82B4B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lastRenderedPageBreak/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2C37B7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lastRenderedPageBreak/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2C37B7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2C37B7" w:rsidP="00185825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450CC3" w:rsidP="00236A47">
            <w:pPr>
              <w:spacing w:before="100" w:after="100"/>
              <w:jc w:val="center"/>
            </w:pPr>
            <w:r>
              <w:t>6</w:t>
            </w:r>
            <w:r w:rsidR="00236A47">
              <w:t>,06</w:t>
            </w:r>
            <w:r w:rsidR="002C37B7">
              <w:t xml:space="preserve"> 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miércoles </w:t>
      </w:r>
      <w:proofErr w:type="spellStart"/>
      <w:r w:rsidR="00236A47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236A47">
        <w:rPr>
          <w:b/>
        </w:rPr>
        <w:t>xxxxxx</w:t>
      </w:r>
      <w:proofErr w:type="spellEnd"/>
      <w:r w:rsidRPr="00690C22">
        <w:rPr>
          <w:b/>
        </w:rPr>
        <w:t xml:space="preserve">, NO JUGARÁN desde la jornada del </w:t>
      </w:r>
      <w:proofErr w:type="spellStart"/>
      <w:r w:rsidR="00236A47">
        <w:rPr>
          <w:b/>
        </w:rPr>
        <w:t>xx</w:t>
      </w:r>
      <w:proofErr w:type="spellEnd"/>
      <w:r w:rsidRPr="00690C22">
        <w:rPr>
          <w:b/>
        </w:rPr>
        <w:t xml:space="preserve"> de </w:t>
      </w:r>
      <w:proofErr w:type="spellStart"/>
      <w:r w:rsidR="00236A47">
        <w:rPr>
          <w:b/>
        </w:rPr>
        <w:t>xxxxxxx</w:t>
      </w:r>
      <w:proofErr w:type="spellEnd"/>
      <w:r w:rsidRPr="00690C22">
        <w:rPr>
          <w:b/>
        </w:rPr>
        <w:t xml:space="preserve"> 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671" w:rsidRDefault="00C65671">
      <w:r>
        <w:separator/>
      </w:r>
    </w:p>
  </w:endnote>
  <w:endnote w:type="continuationSeparator" w:id="0">
    <w:p w:rsidR="00C65671" w:rsidRDefault="00C65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AC03E3">
      <w:rPr>
        <w:sz w:val="18"/>
        <w:szCs w:val="18"/>
      </w:rPr>
      <w:t>5</w:t>
    </w:r>
    <w:r w:rsidRPr="00B62BB2">
      <w:rPr>
        <w:sz w:val="18"/>
        <w:szCs w:val="18"/>
      </w:rPr>
      <w:t xml:space="preserve"> del </w:t>
    </w:r>
    <w:r w:rsidR="00AC03E3">
      <w:rPr>
        <w:sz w:val="18"/>
        <w:szCs w:val="18"/>
      </w:rPr>
      <w:t>6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AC03E3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pág.</w:t>
    </w:r>
    <w:r w:rsidR="008D1D1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8D1D1B" w:rsidRPr="00B62BB2">
      <w:rPr>
        <w:rStyle w:val="Nmerodepgina"/>
        <w:sz w:val="18"/>
        <w:szCs w:val="18"/>
      </w:rPr>
      <w:fldChar w:fldCharType="separate"/>
    </w:r>
    <w:r w:rsidR="0032456D">
      <w:rPr>
        <w:rStyle w:val="Nmerodepgina"/>
        <w:noProof/>
        <w:sz w:val="18"/>
        <w:szCs w:val="18"/>
      </w:rPr>
      <w:t>1</w:t>
    </w:r>
    <w:r w:rsidR="008D1D1B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8D1D1B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8D1D1B" w:rsidRPr="00B62BB2">
      <w:rPr>
        <w:rStyle w:val="Nmerodepgina"/>
        <w:sz w:val="18"/>
        <w:szCs w:val="18"/>
      </w:rPr>
      <w:fldChar w:fldCharType="separate"/>
    </w:r>
    <w:r w:rsidR="0032456D">
      <w:rPr>
        <w:rStyle w:val="Nmerodepgina"/>
        <w:noProof/>
        <w:sz w:val="18"/>
        <w:szCs w:val="18"/>
      </w:rPr>
      <w:t>6</w:t>
    </w:r>
    <w:r w:rsidR="008D1D1B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671" w:rsidRDefault="00C65671">
      <w:r>
        <w:separator/>
      </w:r>
    </w:p>
  </w:footnote>
  <w:footnote w:type="continuationSeparator" w:id="0">
    <w:p w:rsidR="00C65671" w:rsidRDefault="00C65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4E6F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484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3E3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4A6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021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92BEF-EF74-4C21-A3C0-B17657C8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5</cp:revision>
  <cp:lastPrinted>2022-11-07T22:08:00Z</cp:lastPrinted>
  <dcterms:created xsi:type="dcterms:W3CDTF">2022-11-06T23:21:00Z</dcterms:created>
  <dcterms:modified xsi:type="dcterms:W3CDTF">2022-11-07T22:18:00Z</dcterms:modified>
</cp:coreProperties>
</file>